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866C2" w:rsidTr="008866C2">
        <w:trPr>
          <w:trHeight w:val="3403"/>
        </w:trPr>
        <w:tc>
          <w:tcPr>
            <w:tcW w:w="9570" w:type="dxa"/>
          </w:tcPr>
          <w:p w:rsidR="005F240F" w:rsidRPr="005F240F" w:rsidRDefault="005F240F" w:rsidP="005F240F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5F240F">
              <w:rPr>
                <w:b/>
                <w:szCs w:val="28"/>
              </w:rPr>
              <w:t>ПРАВИТЕЛЬСТВО ОРЛОВСКОЙ ОБЛАСТИ</w:t>
            </w:r>
          </w:p>
          <w:p w:rsidR="005F240F" w:rsidRPr="005F240F" w:rsidRDefault="005F240F" w:rsidP="005F240F">
            <w:pPr>
              <w:jc w:val="center"/>
              <w:rPr>
                <w:b/>
                <w:szCs w:val="28"/>
              </w:rPr>
            </w:pPr>
          </w:p>
          <w:p w:rsidR="005F240F" w:rsidRPr="005F240F" w:rsidRDefault="005F240F" w:rsidP="005F240F">
            <w:pPr>
              <w:jc w:val="center"/>
              <w:rPr>
                <w:b/>
                <w:szCs w:val="28"/>
              </w:rPr>
            </w:pPr>
            <w:r w:rsidRPr="005F240F">
              <w:rPr>
                <w:b/>
                <w:szCs w:val="28"/>
              </w:rPr>
              <w:t>ПОСТАНОВЛЕНИЕ</w:t>
            </w:r>
          </w:p>
          <w:p w:rsidR="005F240F" w:rsidRPr="005F240F" w:rsidRDefault="005F240F" w:rsidP="005F240F">
            <w:pPr>
              <w:rPr>
                <w:szCs w:val="28"/>
              </w:rPr>
            </w:pPr>
          </w:p>
          <w:p w:rsidR="005F240F" w:rsidRPr="005F240F" w:rsidRDefault="005F240F" w:rsidP="005F240F">
            <w:pPr>
              <w:rPr>
                <w:szCs w:val="28"/>
              </w:rPr>
            </w:pPr>
          </w:p>
          <w:p w:rsidR="005F240F" w:rsidRPr="005F240F" w:rsidRDefault="005F240F" w:rsidP="005F240F">
            <w:pPr>
              <w:rPr>
                <w:szCs w:val="28"/>
              </w:rPr>
            </w:pPr>
          </w:p>
          <w:p w:rsidR="005F240F" w:rsidRPr="005F240F" w:rsidRDefault="005F240F" w:rsidP="005F240F">
            <w:pPr>
              <w:rPr>
                <w:szCs w:val="28"/>
              </w:rPr>
            </w:pPr>
            <w:r>
              <w:rPr>
                <w:szCs w:val="28"/>
              </w:rPr>
              <w:t>30 апреля 2025 г. № 311</w:t>
            </w:r>
          </w:p>
          <w:p w:rsidR="005F240F" w:rsidRPr="005F240F" w:rsidRDefault="005F240F" w:rsidP="005F240F">
            <w:pPr>
              <w:rPr>
                <w:color w:val="0000FF"/>
                <w:sz w:val="36"/>
                <w:szCs w:val="36"/>
                <w:vertAlign w:val="superscript"/>
              </w:rPr>
            </w:pPr>
            <w:r w:rsidRPr="005F240F">
              <w:rPr>
                <w:szCs w:val="28"/>
              </w:rPr>
              <w:t>г. Орёл</w:t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5F240F">
              <w:rPr>
                <w:color w:val="0000FF"/>
                <w:sz w:val="36"/>
                <w:szCs w:val="36"/>
                <w:vertAlign w:val="superscript"/>
              </w:rPr>
              <w:tab/>
            </w:r>
          </w:p>
          <w:p w:rsidR="00456B3B" w:rsidRPr="00F46C7B" w:rsidRDefault="00456B3B" w:rsidP="00456B3B">
            <w:pPr>
              <w:rPr>
                <w:color w:val="0000FF"/>
                <w:sz w:val="36"/>
                <w:szCs w:val="36"/>
                <w:vertAlign w:val="superscript"/>
              </w:rPr>
            </w:pP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  <w:r w:rsidRPr="00F46C7B">
              <w:rPr>
                <w:color w:val="0000FF"/>
                <w:sz w:val="36"/>
                <w:szCs w:val="36"/>
                <w:vertAlign w:val="superscript"/>
              </w:rPr>
              <w:tab/>
            </w:r>
          </w:p>
          <w:p w:rsidR="008866C2" w:rsidRPr="00456B3B" w:rsidRDefault="008866C2">
            <w:pPr>
              <w:rPr>
                <w:szCs w:val="28"/>
                <w:lang w:eastAsia="en-US"/>
              </w:rPr>
            </w:pPr>
          </w:p>
        </w:tc>
      </w:tr>
    </w:tbl>
    <w:p w:rsidR="008866C2" w:rsidRDefault="008866C2" w:rsidP="008866C2">
      <w:pPr>
        <w:rPr>
          <w:szCs w:val="28"/>
        </w:rPr>
      </w:pPr>
    </w:p>
    <w:p w:rsidR="00846021" w:rsidRDefault="00846021" w:rsidP="00846021">
      <w:pPr>
        <w:jc w:val="center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r>
        <w:rPr>
          <w:szCs w:val="28"/>
        </w:rPr>
        <w:br/>
        <w:t xml:space="preserve">Правительства Орловской области от 16 сентября </w:t>
      </w:r>
      <w:r>
        <w:rPr>
          <w:szCs w:val="28"/>
        </w:rPr>
        <w:br/>
        <w:t xml:space="preserve">2021 года № 562 «О региональном государственном </w:t>
      </w:r>
      <w:r>
        <w:rPr>
          <w:szCs w:val="28"/>
        </w:rPr>
        <w:br/>
        <w:t xml:space="preserve">контроле (надзоре) за состоянием Музейного </w:t>
      </w:r>
      <w:r>
        <w:rPr>
          <w:szCs w:val="28"/>
        </w:rPr>
        <w:br/>
        <w:t>фонда Российской Федерации»</w:t>
      </w:r>
    </w:p>
    <w:p w:rsidR="00846021" w:rsidRDefault="00846021" w:rsidP="00846021">
      <w:pPr>
        <w:jc w:val="center"/>
        <w:rPr>
          <w:szCs w:val="28"/>
        </w:rPr>
      </w:pPr>
    </w:p>
    <w:p w:rsidR="00846021" w:rsidRDefault="00846021" w:rsidP="00846021">
      <w:pPr>
        <w:jc w:val="center"/>
        <w:rPr>
          <w:szCs w:val="28"/>
        </w:rPr>
      </w:pPr>
    </w:p>
    <w:p w:rsidR="00846021" w:rsidRDefault="00846021" w:rsidP="00846021">
      <w:pPr>
        <w:ind w:firstLine="709"/>
        <w:rPr>
          <w:spacing w:val="40"/>
          <w:szCs w:val="28"/>
        </w:rPr>
      </w:pPr>
      <w:r>
        <w:rPr>
          <w:szCs w:val="28"/>
        </w:rPr>
        <w:t xml:space="preserve">В целях поддержания нормативной правовой базы Орловской области </w:t>
      </w:r>
      <w:r>
        <w:rPr>
          <w:szCs w:val="28"/>
        </w:rPr>
        <w:br/>
        <w:t xml:space="preserve">в актуальном состоянии Правительство Орловской области </w:t>
      </w:r>
      <w:r>
        <w:rPr>
          <w:spacing w:val="40"/>
          <w:szCs w:val="28"/>
        </w:rPr>
        <w:t>постановляет:</w:t>
      </w:r>
    </w:p>
    <w:p w:rsidR="00846021" w:rsidRDefault="00846021" w:rsidP="00846021">
      <w:pPr>
        <w:autoSpaceDE w:val="0"/>
        <w:autoSpaceDN w:val="0"/>
        <w:adjustRightInd w:val="0"/>
        <w:rPr>
          <w:color w:val="000000"/>
          <w:szCs w:val="28"/>
        </w:rPr>
      </w:pPr>
    </w:p>
    <w:p w:rsidR="00846021" w:rsidRDefault="00846021" w:rsidP="00846021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</w:t>
      </w:r>
      <w:r>
        <w:rPr>
          <w:color w:val="000000"/>
          <w:szCs w:val="28"/>
        </w:rPr>
        <w:t xml:space="preserve">приложение 1 к </w:t>
      </w:r>
      <w:r>
        <w:rPr>
          <w:szCs w:val="28"/>
        </w:rPr>
        <w:t xml:space="preserve">постановлению Правительства Орловской области от 16 сентября 2021 года № 562 «О региональном государственном контроле (надзоре) за состоянием Музейного фонда Российской Федерации» </w:t>
      </w:r>
      <w:r>
        <w:rPr>
          <w:color w:val="000000"/>
          <w:szCs w:val="28"/>
        </w:rPr>
        <w:t>следующие изменения:</w:t>
      </w:r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 xml:space="preserve">1)  пункт 13 </w:t>
      </w:r>
      <w:r>
        <w:rPr>
          <w:szCs w:val="28"/>
        </w:rPr>
        <w:t>изложить в следующей редакции:</w:t>
      </w:r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>«13.  </w:t>
      </w:r>
      <w:r>
        <w:rPr>
          <w:szCs w:val="28"/>
        </w:rPr>
        <w:t xml:space="preserve">Проведение плановых контрольных (надзорных) мероприятий </w:t>
      </w:r>
      <w:r>
        <w:rPr>
          <w:szCs w:val="28"/>
        </w:rPr>
        <w:br/>
        <w:t>и обязательных профилактических визитов в отношении контролируемых лиц в зависимости от отнесения объектов контроля к одной из категорий риска осуществляется со следующей периодичностью:</w:t>
      </w:r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одно плановое контрольное (надзорное) мероприятие в два года – </w:t>
      </w:r>
      <w:r>
        <w:rPr>
          <w:szCs w:val="28"/>
        </w:rPr>
        <w:br/>
        <w:t>для объектов контроля, отнесенных к категории высокого риска;</w:t>
      </w:r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один обязательный профилактический визит в три года – для объектов контроля, отнесенных к категории среднего риска;</w:t>
      </w:r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для объектов контроля, отнесенных к категории низкого риска, плановые контрольные (надзорные) мероприятия, обязательные профилактические визиты не проводятся</w:t>
      </w:r>
      <w:proofErr w:type="gramStart"/>
      <w:r>
        <w:rPr>
          <w:szCs w:val="28"/>
        </w:rPr>
        <w:t>.»;</w:t>
      </w:r>
      <w:proofErr w:type="gramEnd"/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2)  в пункте 16 слова «в пунктах 1, 3, 4 части 1 статьи 57 Федерального закона» заменить словами «в пунктах 1, 3, 4, 7, 9 части 1 статьи 57 Федерального закона»;</w:t>
      </w:r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 xml:space="preserve">3)  пункт 32 изложить в следующей редакции: 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«32.  Департамент проводит профилактические визиты в соответствии со статьями 52–52</w:t>
      </w:r>
      <w:r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Федерального закона</w:t>
      </w:r>
      <w:proofErr w:type="gramStart"/>
      <w:r>
        <w:rPr>
          <w:color w:val="000000"/>
          <w:szCs w:val="28"/>
        </w:rPr>
        <w:t>.»;</w:t>
      </w:r>
      <w:proofErr w:type="gramEnd"/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4)  пункты 33–35 признать утратившими силу;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5)  пункт 48 </w:t>
      </w:r>
      <w:r>
        <w:rPr>
          <w:szCs w:val="28"/>
        </w:rPr>
        <w:t>изложить в следующей редакции: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«48.  Предметом досудебного (внесудебного) обжалования являются: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1)  решения о проведении контрольных (надзорных) мероприятий </w:t>
      </w:r>
      <w:r>
        <w:rPr>
          <w:color w:val="000000"/>
          <w:szCs w:val="28"/>
        </w:rPr>
        <w:br/>
        <w:t>и обязательных профилактических визитов;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2)  акты контрольных (надзорных) мероприятий и обязательных профилактических визитов, предписания об устранении выявленных нарушений;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3)  действия (бездействие) должностных лиц Департамента в рамках контрольных (надзорных) мероприятий и обязательных профилактических визитов;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4)  решения об отнесении объектов контроля к соответствующей категории риска;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5)  решения об отказе в проведении обязательных профилактических визитов по заявлениям контролируемых лиц;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6)  иные решения, принимаемые Департаментом по итогам профилактических и (или) контрольных (надзорных) мероприятий, предусмотренных Федеральным законом, в отношении контролируемых лиц или объектов контроля</w:t>
      </w:r>
      <w:proofErr w:type="gramStart"/>
      <w:r>
        <w:rPr>
          <w:color w:val="000000"/>
          <w:szCs w:val="28"/>
        </w:rPr>
        <w:t>.»;</w:t>
      </w:r>
      <w:proofErr w:type="gramEnd"/>
    </w:p>
    <w:p w:rsidR="00846021" w:rsidRDefault="00846021" w:rsidP="00846021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 xml:space="preserve">6)  пункты 51, 52 </w:t>
      </w:r>
      <w:r>
        <w:rPr>
          <w:szCs w:val="28"/>
        </w:rPr>
        <w:t>изложить в следующей редакции: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>«51.  </w:t>
      </w:r>
      <w:r>
        <w:rPr>
          <w:szCs w:val="28"/>
          <w:lang w:eastAsia="ru-RU"/>
        </w:rPr>
        <w:t>Жалоба регистрируется в день поступления в информационной системе (подсистеме государственной информационной системы) досудебного обжалования (далее – подсистема досудебного обжалования)</w:t>
      </w:r>
      <w:r>
        <w:rPr>
          <w:color w:val="000000"/>
          <w:szCs w:val="28"/>
        </w:rPr>
        <w:t>.</w:t>
      </w:r>
    </w:p>
    <w:p w:rsidR="00846021" w:rsidRDefault="00846021" w:rsidP="00846021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52.  Жалоба подлежит рассмотрению в течение 15 рабочих дней со дня ее регистрации в подсистеме досудебного обжалования.</w:t>
      </w:r>
    </w:p>
    <w:p w:rsidR="00846021" w:rsidRDefault="00846021" w:rsidP="00846021">
      <w:pPr>
        <w:ind w:firstLine="709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</w:t>
      </w:r>
      <w:r>
        <w:rPr>
          <w:color w:val="000000"/>
          <w:szCs w:val="28"/>
        </w:rPr>
        <w:br/>
        <w:t>не более 5 рабочих дней со дня ее регистрации в подсистеме досудебного обжалования</w:t>
      </w:r>
      <w:proofErr w:type="gramStart"/>
      <w:r>
        <w:rPr>
          <w:color w:val="000000"/>
          <w:szCs w:val="28"/>
        </w:rPr>
        <w:t>.»;</w:t>
      </w:r>
      <w:proofErr w:type="gramEnd"/>
    </w:p>
    <w:p w:rsidR="00846021" w:rsidRDefault="00846021" w:rsidP="00846021">
      <w:pPr>
        <w:ind w:firstLine="709"/>
        <w:outlineLvl w:val="0"/>
        <w:rPr>
          <w:szCs w:val="28"/>
        </w:rPr>
      </w:pPr>
      <w:r>
        <w:rPr>
          <w:color w:val="000000"/>
          <w:szCs w:val="28"/>
        </w:rPr>
        <w:t>7)  </w:t>
      </w:r>
      <w:r>
        <w:rPr>
          <w:szCs w:val="28"/>
        </w:rPr>
        <w:t>пункт 53 признать утратившим силу.</w:t>
      </w:r>
    </w:p>
    <w:p w:rsidR="008866C2" w:rsidRDefault="008866C2" w:rsidP="008866C2">
      <w:pPr>
        <w:rPr>
          <w:szCs w:val="28"/>
        </w:rPr>
      </w:pPr>
    </w:p>
    <w:p w:rsidR="003D32EA" w:rsidRPr="004F5D90" w:rsidRDefault="003D32EA" w:rsidP="003D32EA">
      <w:pPr>
        <w:shd w:val="clear" w:color="auto" w:fill="FFFFFF"/>
        <w:autoSpaceDE w:val="0"/>
        <w:autoSpaceDN w:val="0"/>
        <w:adjustRightInd w:val="0"/>
        <w:ind w:firstLine="720"/>
        <w:rPr>
          <w:szCs w:val="28"/>
        </w:rPr>
      </w:pPr>
    </w:p>
    <w:p w:rsidR="003D32EA" w:rsidRDefault="003D32EA" w:rsidP="003D32EA">
      <w:pPr>
        <w:shd w:val="clear" w:color="auto" w:fill="FFFFFF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D32EA" w:rsidTr="001552D1">
        <w:tc>
          <w:tcPr>
            <w:tcW w:w="2660" w:type="dxa"/>
            <w:hideMark/>
          </w:tcPr>
          <w:p w:rsidR="003D32EA" w:rsidRDefault="003D32EA" w:rsidP="001552D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</w:p>
          <w:p w:rsidR="003D32EA" w:rsidRDefault="003D32EA" w:rsidP="001552D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Орловской области</w:t>
            </w:r>
          </w:p>
        </w:tc>
        <w:tc>
          <w:tcPr>
            <w:tcW w:w="6911" w:type="dxa"/>
            <w:vAlign w:val="bottom"/>
            <w:hideMark/>
          </w:tcPr>
          <w:p w:rsidR="003D32EA" w:rsidRDefault="003D32EA" w:rsidP="001552D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А. Е. Клычков</w:t>
            </w:r>
          </w:p>
        </w:tc>
      </w:tr>
    </w:tbl>
    <w:p w:rsidR="003D32EA" w:rsidRPr="00333ACD" w:rsidRDefault="003D32EA" w:rsidP="003D32EA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5B657E" w:rsidRDefault="005B657E" w:rsidP="008866C2">
      <w:pPr>
        <w:rPr>
          <w:szCs w:val="28"/>
        </w:rPr>
      </w:pPr>
    </w:p>
    <w:sectPr w:rsidR="005B657E" w:rsidSect="00456B3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EE" w:rsidRDefault="00957DEE" w:rsidP="00456B3B">
      <w:r>
        <w:separator/>
      </w:r>
    </w:p>
  </w:endnote>
  <w:endnote w:type="continuationSeparator" w:id="0">
    <w:p w:rsidR="00957DEE" w:rsidRDefault="00957DEE" w:rsidP="0045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EE" w:rsidRDefault="00957DEE" w:rsidP="00456B3B">
      <w:r>
        <w:separator/>
      </w:r>
    </w:p>
  </w:footnote>
  <w:footnote w:type="continuationSeparator" w:id="0">
    <w:p w:rsidR="00957DEE" w:rsidRDefault="00957DEE" w:rsidP="00456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975270"/>
      <w:docPartObj>
        <w:docPartGallery w:val="Page Numbers (Top of Page)"/>
        <w:docPartUnique/>
      </w:docPartObj>
    </w:sdtPr>
    <w:sdtEndPr/>
    <w:sdtContent>
      <w:p w:rsidR="00456B3B" w:rsidRDefault="00456B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31D">
          <w:rPr>
            <w:noProof/>
          </w:rPr>
          <w:t>2</w:t>
        </w:r>
        <w:r>
          <w:fldChar w:fldCharType="end"/>
        </w:r>
      </w:p>
    </w:sdtContent>
  </w:sdt>
  <w:p w:rsidR="00456B3B" w:rsidRDefault="00456B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1"/>
    <w:rsid w:val="00097376"/>
    <w:rsid w:val="000D5D91"/>
    <w:rsid w:val="001C6E42"/>
    <w:rsid w:val="00204545"/>
    <w:rsid w:val="002654FD"/>
    <w:rsid w:val="00277F3F"/>
    <w:rsid w:val="002C357A"/>
    <w:rsid w:val="002C4888"/>
    <w:rsid w:val="002D049C"/>
    <w:rsid w:val="00313CE4"/>
    <w:rsid w:val="003337FC"/>
    <w:rsid w:val="00355B04"/>
    <w:rsid w:val="003D32EA"/>
    <w:rsid w:val="0044631D"/>
    <w:rsid w:val="00456B3B"/>
    <w:rsid w:val="004976F8"/>
    <w:rsid w:val="004D2B20"/>
    <w:rsid w:val="004D35FA"/>
    <w:rsid w:val="00501A9B"/>
    <w:rsid w:val="0054456B"/>
    <w:rsid w:val="005B657E"/>
    <w:rsid w:val="005C2405"/>
    <w:rsid w:val="005C2481"/>
    <w:rsid w:val="005C71B1"/>
    <w:rsid w:val="005F240F"/>
    <w:rsid w:val="00657491"/>
    <w:rsid w:val="006911E8"/>
    <w:rsid w:val="006A244D"/>
    <w:rsid w:val="006E35D0"/>
    <w:rsid w:val="006F1C53"/>
    <w:rsid w:val="006F3AAF"/>
    <w:rsid w:val="00750EA3"/>
    <w:rsid w:val="00785BC0"/>
    <w:rsid w:val="007A1BD7"/>
    <w:rsid w:val="007E19F0"/>
    <w:rsid w:val="008014C5"/>
    <w:rsid w:val="0080779B"/>
    <w:rsid w:val="00842FE9"/>
    <w:rsid w:val="00846021"/>
    <w:rsid w:val="008866C2"/>
    <w:rsid w:val="008C5E89"/>
    <w:rsid w:val="00916D62"/>
    <w:rsid w:val="00957DEE"/>
    <w:rsid w:val="0096429F"/>
    <w:rsid w:val="00965C75"/>
    <w:rsid w:val="009A0657"/>
    <w:rsid w:val="00A3775F"/>
    <w:rsid w:val="00A74179"/>
    <w:rsid w:val="00AB7EB8"/>
    <w:rsid w:val="00B342C1"/>
    <w:rsid w:val="00B55423"/>
    <w:rsid w:val="00B57B7D"/>
    <w:rsid w:val="00BB145D"/>
    <w:rsid w:val="00C12841"/>
    <w:rsid w:val="00C73282"/>
    <w:rsid w:val="00C96827"/>
    <w:rsid w:val="00CC363E"/>
    <w:rsid w:val="00CD2FFC"/>
    <w:rsid w:val="00CE7BBF"/>
    <w:rsid w:val="00D1546C"/>
    <w:rsid w:val="00D536A7"/>
    <w:rsid w:val="00D809F1"/>
    <w:rsid w:val="00DC1F8E"/>
    <w:rsid w:val="00E11D16"/>
    <w:rsid w:val="00E94009"/>
    <w:rsid w:val="00F04E9F"/>
    <w:rsid w:val="00F50305"/>
    <w:rsid w:val="00F5329E"/>
    <w:rsid w:val="00F910D6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6B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B3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456B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B3B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56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6B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B3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456B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B3B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56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m\Desktop\&#1064;&#1072;&#1073;&#1083;&#1086;&#1085;&#1099;\&#1055;&#1088;&#1072;&#1074;&#1080;&#1090;&#1077;&#1083;&#1100;&#1089;&#1090;&#107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uam</dc:creator>
  <cp:lastModifiedBy>mvk</cp:lastModifiedBy>
  <cp:revision>2</cp:revision>
  <cp:lastPrinted>2025-04-29T11:44:00Z</cp:lastPrinted>
  <dcterms:created xsi:type="dcterms:W3CDTF">2025-05-12T11:22:00Z</dcterms:created>
  <dcterms:modified xsi:type="dcterms:W3CDTF">2025-05-12T11:22:00Z</dcterms:modified>
</cp:coreProperties>
</file>